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附件2</w:t>
      </w:r>
      <w:r>
        <w:rPr>
          <w:rFonts w:hint="eastAsia"/>
          <w:b/>
          <w:sz w:val="36"/>
          <w:szCs w:val="32"/>
        </w:rPr>
        <w:t xml:space="preserve">             </w:t>
      </w: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长春市工伤保险医疗机构履约能力评估标准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准医疗机构名称：</w:t>
      </w:r>
    </w:p>
    <w:tbl>
      <w:tblPr>
        <w:tblStyle w:val="6"/>
        <w:tblW w:w="150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401"/>
        <w:gridCol w:w="7801"/>
        <w:gridCol w:w="2099"/>
        <w:gridCol w:w="9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评估项目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评估内容</w:t>
            </w:r>
          </w:p>
        </w:tc>
        <w:tc>
          <w:tcPr>
            <w:tcW w:w="78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评估标准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实地评估情况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一、基本情况（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10分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（一）、法人</w:t>
            </w:r>
            <w:r>
              <w:rPr>
                <w:rFonts w:asciiTheme="minorEastAsia" w:hAnsiTheme="minorEastAsia"/>
                <w:sz w:val="24"/>
                <w:szCs w:val="24"/>
              </w:rPr>
              <w:t>经营时间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（5分）</w:t>
            </w:r>
          </w:p>
        </w:tc>
        <w:tc>
          <w:tcPr>
            <w:tcW w:w="78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1.医疗机构成立及法人经营时间满4年及以上，得5分；</w:t>
            </w:r>
          </w:p>
        </w:tc>
        <w:tc>
          <w:tcPr>
            <w:tcW w:w="2099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2.医疗机构成立及法人经营时间满3年不足4年，得4分；</w:t>
            </w:r>
          </w:p>
        </w:tc>
        <w:tc>
          <w:tcPr>
            <w:tcW w:w="2099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3.医疗机构成立及法人经营时间满2年不足3年，得3分；</w:t>
            </w:r>
          </w:p>
        </w:tc>
        <w:tc>
          <w:tcPr>
            <w:tcW w:w="2099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4.医疗机构成立及法人经营时间满1年不足2年，得2分；</w:t>
            </w:r>
          </w:p>
        </w:tc>
        <w:tc>
          <w:tcPr>
            <w:tcW w:w="2099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5.医疗机构成立时间或法人经营时间不足1年，得1分。</w:t>
            </w:r>
          </w:p>
        </w:tc>
        <w:tc>
          <w:tcPr>
            <w:tcW w:w="2099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（二）、营业场所使用时间（5分）</w:t>
            </w:r>
          </w:p>
        </w:tc>
        <w:tc>
          <w:tcPr>
            <w:tcW w:w="78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1.经营场所为自有房产的，得5分；</w:t>
            </w:r>
          </w:p>
        </w:tc>
        <w:tc>
          <w:tcPr>
            <w:tcW w:w="2099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2.经营场所为租赁形式的，得3分；租赁合同过期的，不得分。</w:t>
            </w:r>
          </w:p>
        </w:tc>
        <w:tc>
          <w:tcPr>
            <w:tcW w:w="2099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6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二、服务能力（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28分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24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（一）医疗保险定点情况（28分）</w:t>
            </w:r>
          </w:p>
        </w:tc>
        <w:tc>
          <w:tcPr>
            <w:tcW w:w="78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1.是医疗保险定点服务机构的，得28分；</w:t>
            </w:r>
          </w:p>
        </w:tc>
        <w:tc>
          <w:tcPr>
            <w:tcW w:w="2099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80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2.非医疗保险定点服务机构，但开设工伤保险医疗服务特色项目的，得14分。</w:t>
            </w:r>
          </w:p>
        </w:tc>
        <w:tc>
          <w:tcPr>
            <w:tcW w:w="209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6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三、收费公开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（4分）</w:t>
            </w:r>
          </w:p>
        </w:tc>
        <w:tc>
          <w:tcPr>
            <w:tcW w:w="240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（一）费用清单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80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1.按规定提供药品、检查、治疗、服务收费清单的，得2分。</w:t>
            </w:r>
          </w:p>
        </w:tc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74" w:hRule="atLeast"/>
        </w:trPr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（二）价格信息公示（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80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1.设立公示屏牌，及时向群众公示药品和医疗服务价格信息及工伤保险支付标准的，得2分。</w:t>
            </w:r>
          </w:p>
        </w:tc>
        <w:tc>
          <w:tcPr>
            <w:tcW w:w="2099" w:type="dxa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3"/>
        <w:gridCol w:w="2395"/>
        <w:gridCol w:w="63"/>
        <w:gridCol w:w="7721"/>
        <w:gridCol w:w="75"/>
        <w:gridCol w:w="1985"/>
        <w:gridCol w:w="35"/>
        <w:gridCol w:w="933"/>
        <w:gridCol w:w="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74" w:hRule="atLeast"/>
        </w:trPr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评估项目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评估内容</w:t>
            </w:r>
          </w:p>
        </w:tc>
        <w:tc>
          <w:tcPr>
            <w:tcW w:w="77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评估标准</w:t>
            </w:r>
          </w:p>
        </w:tc>
        <w:tc>
          <w:tcPr>
            <w:tcW w:w="20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实地评估情况</w:t>
            </w:r>
          </w:p>
        </w:tc>
        <w:tc>
          <w:tcPr>
            <w:tcW w:w="9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56" w:hRule="atLeast"/>
        </w:trPr>
        <w:tc>
          <w:tcPr>
            <w:tcW w:w="17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四、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内部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管理（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26分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（一）工伤保险管理（4分）</w:t>
            </w:r>
          </w:p>
        </w:tc>
        <w:tc>
          <w:tcPr>
            <w:tcW w:w="7784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1.建立了与工伤保险管理相适应的内部组织管理制度，配备了专（兼）职管理人员、设备和办公场所，得4分。</w:t>
            </w:r>
          </w:p>
        </w:tc>
        <w:tc>
          <w:tcPr>
            <w:tcW w:w="2095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81" w:hRule="atLeas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（二）环境卫生管理（16分）</w:t>
            </w:r>
          </w:p>
        </w:tc>
        <w:tc>
          <w:tcPr>
            <w:tcW w:w="7784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1.医疗机构干净整洁，无乱贴乱挂；功能分区合理，每室独立；药品存放、保管符合药品的理化性能要求；营业、办公和仓储区域已分开或隔离，每项4分，四项全部合格得16分。</w:t>
            </w:r>
          </w:p>
        </w:tc>
        <w:tc>
          <w:tcPr>
            <w:tcW w:w="2095" w:type="dxa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82" w:hRule="atLeas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7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2.医疗机构不够整洁干净或存在乱贴乱挂、功能分区不合理、药品存放、保管不符合药品的理化性能要求；营业、办公和仓储区域未分开或隔离的，每发现一项扣4分，扣至0分止。</w:t>
            </w:r>
          </w:p>
        </w:tc>
        <w:tc>
          <w:tcPr>
            <w:tcW w:w="2095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58" w:hRule="atLeas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（三）医患纠纷调解（2分）</w:t>
            </w:r>
          </w:p>
        </w:tc>
        <w:tc>
          <w:tcPr>
            <w:tcW w:w="7784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1.建立健全医疗纠纷投诉和处理机构，并有专人负责，公布投诉电话、信箱，畅通投诉渠道，及时受理、处置患方投诉，得1-2分；否则不得分。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6" w:hRule="atLeast"/>
        </w:trPr>
        <w:tc>
          <w:tcPr>
            <w:tcW w:w="176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（四）便民服务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（4分）</w:t>
            </w:r>
          </w:p>
        </w:tc>
        <w:tc>
          <w:tcPr>
            <w:tcW w:w="77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1.设立导诊台、触摸屏、指示牌、就医流程、专家姓名和联系方式的，得4分；无以上便民服务的不得分。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20" w:hRule="atLeast"/>
        </w:trPr>
        <w:tc>
          <w:tcPr>
            <w:tcW w:w="176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五、财务管理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（16分）</w:t>
            </w:r>
          </w:p>
        </w:tc>
        <w:tc>
          <w:tcPr>
            <w:tcW w:w="2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（一）管理制度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（2分）</w:t>
            </w:r>
          </w:p>
        </w:tc>
        <w:tc>
          <w:tcPr>
            <w:tcW w:w="77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1.有健全和完善财务管理制度，对医疗机构财务活动进行全面管理，建立监督内控机制的，得1-2分。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31" w:hRule="atLeas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（二）对药品、医用耗材的采购、验收、销售等环节实行计算机实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时</w:t>
            </w:r>
            <w:r>
              <w:rPr>
                <w:rFonts w:asciiTheme="minorEastAsia" w:hAnsiTheme="minorEastAsia"/>
                <w:sz w:val="24"/>
                <w:szCs w:val="24"/>
              </w:rPr>
              <w:t>管理情况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12分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784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1.已实时录入全部环节数据并可查询3个月以上时间的真实数据，得8-12分；</w:t>
            </w:r>
          </w:p>
        </w:tc>
        <w:tc>
          <w:tcPr>
            <w:tcW w:w="2095" w:type="dxa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6" w:hRule="atLeas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84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2.已实时录入全部环节数据并可查询1至3个月以内的真实数据，得2-7分；</w:t>
            </w:r>
          </w:p>
        </w:tc>
        <w:tc>
          <w:tcPr>
            <w:tcW w:w="2095" w:type="dxa"/>
            <w:gridSpan w:val="3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1" w:hRule="atLeas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84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3.已实时录入全部环节数据并可查询1个月以下时间的真实数据，得1分；</w:t>
            </w:r>
          </w:p>
        </w:tc>
        <w:tc>
          <w:tcPr>
            <w:tcW w:w="2095" w:type="dxa"/>
            <w:gridSpan w:val="3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22" w:hRule="atLeas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84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4.分别抽查15-25个药品和医用耗材，进、销、存账物不符的，每发现一个品种扣1分，累计计算，最多扣12分。</w:t>
            </w:r>
          </w:p>
        </w:tc>
        <w:tc>
          <w:tcPr>
            <w:tcW w:w="2095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46" w:hRule="atLeas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（三）财务结算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（2分）</w:t>
            </w:r>
          </w:p>
        </w:tc>
        <w:tc>
          <w:tcPr>
            <w:tcW w:w="7784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1.财务票据齐全、合法，且安装使用电子收费系统的，得1-2分。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评估项目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评估内容</w:t>
            </w:r>
          </w:p>
        </w:tc>
        <w:tc>
          <w:tcPr>
            <w:tcW w:w="77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评估标准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实地评估情况</w:t>
            </w:r>
          </w:p>
        </w:tc>
        <w:tc>
          <w:tcPr>
            <w:tcW w:w="9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asciiTheme="minorEastAsia" w:hAnsiTheme="minorEastAsia"/>
                <w:b/>
                <w:sz w:val="24"/>
                <w:szCs w:val="24"/>
              </w:rPr>
              <w:t>、信息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系统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6分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（一）医疗信息化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（3分）</w:t>
            </w:r>
          </w:p>
        </w:tc>
        <w:tc>
          <w:tcPr>
            <w:tcW w:w="779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1.对医疗服务过程实行全流程、一体化信息管理的，得3分，否则不得分。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（二）联网结算能力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（3分）</w:t>
            </w:r>
          </w:p>
        </w:tc>
        <w:tc>
          <w:tcPr>
            <w:tcW w:w="779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1.能够适应工伤保险信息化建设要求，具有工伤保险就医联网结算能力，得3分，否则不得分。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七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参保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管理（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10分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（一）职工参加医疗保险情况（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5分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1.全部在职员工在本单位参加医疗保险，并及时缴费，得5分；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2.90%以上含90%，不足100%的在职员工在本单位参加医疗保险，并及时缴费，得4分；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3.80%以上含80%，不足90%的在职员工在本单位参加医疗保险，并及时缴费，得3分；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4.70%以上含70%，不足80%的在职员工在本单位参加医疗保险，并及时缴费，得2分；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60%以上不足70%的在职员工在本单位参加医疗保险，并及时缴费，得1分；</w:t>
            </w:r>
          </w:p>
        </w:tc>
        <w:tc>
          <w:tcPr>
            <w:tcW w:w="198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（二）职工参加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社会</w:t>
            </w:r>
            <w:r>
              <w:rPr>
                <w:rFonts w:asciiTheme="minorEastAsia" w:hAnsiTheme="minorEastAsia"/>
                <w:sz w:val="24"/>
                <w:szCs w:val="24"/>
              </w:rPr>
              <w:t>保险情况（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5分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1.全部在职员工在本单位参加社会保险，并及时缴费，得5分；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2.90%以上含90%，不足100%的在职员工在本单位参加社会保险，并及时缴费，得4分；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3.80%以上含80%，不足90%的在职员工在本单位参加社会保险，并及时缴费，得3分；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4.70%以上含70%，不足80%的在职员工在本单位参加社会保险，并及时缴费，得2分；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60%以上不足70%的在职员工在本单位参加社会保险，并及时缴费，得1分；</w:t>
            </w:r>
          </w:p>
        </w:tc>
        <w:tc>
          <w:tcPr>
            <w:tcW w:w="198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得分：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  <w:u w:val="single"/>
        </w:rPr>
        <w:t xml:space="preserve">                    </w:t>
      </w:r>
      <w:r>
        <w:rPr>
          <w:rFonts w:hint="eastAsia" w:ascii="黑体" w:hAnsi="黑体" w:eastAsia="黑体"/>
          <w:sz w:val="24"/>
          <w:szCs w:val="24"/>
        </w:rPr>
        <w:t xml:space="preserve">       评估专家（第三方机构）：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黑体" w:hAnsi="黑体" w:eastAsia="黑体"/>
          <w:sz w:val="24"/>
          <w:szCs w:val="24"/>
        </w:rPr>
        <w:t xml:space="preserve">     是否配合：是□    否□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评估时间：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</w:rPr>
        <w:t>日                                        申报单位签字（盖章）：</w:t>
      </w:r>
    </w:p>
    <w:p>
      <w:pPr>
        <w:rPr>
          <w:rFonts w:ascii="黑体" w:hAnsi="黑体" w:eastAsia="黑体"/>
        </w:rPr>
      </w:pPr>
    </w:p>
    <w:sectPr>
      <w:pgSz w:w="16838" w:h="11906" w:orient="landscape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wNWQxOWExYTA5ZjdiMjFlYjcxZTE5MDVkNjBlOGQifQ=="/>
  </w:docVars>
  <w:rsids>
    <w:rsidRoot w:val="00082D92"/>
    <w:rsid w:val="00066B36"/>
    <w:rsid w:val="00082D92"/>
    <w:rsid w:val="000B0490"/>
    <w:rsid w:val="000F1409"/>
    <w:rsid w:val="00112144"/>
    <w:rsid w:val="00123C4C"/>
    <w:rsid w:val="00163F06"/>
    <w:rsid w:val="001A3EB8"/>
    <w:rsid w:val="002724FE"/>
    <w:rsid w:val="002B234D"/>
    <w:rsid w:val="002E09B2"/>
    <w:rsid w:val="002E7EEE"/>
    <w:rsid w:val="003106AD"/>
    <w:rsid w:val="003715E1"/>
    <w:rsid w:val="00383946"/>
    <w:rsid w:val="00397238"/>
    <w:rsid w:val="003D5A21"/>
    <w:rsid w:val="003F51C9"/>
    <w:rsid w:val="003F5E22"/>
    <w:rsid w:val="00420003"/>
    <w:rsid w:val="004374D2"/>
    <w:rsid w:val="004D25BF"/>
    <w:rsid w:val="00522702"/>
    <w:rsid w:val="0052555B"/>
    <w:rsid w:val="00531C13"/>
    <w:rsid w:val="00551FCF"/>
    <w:rsid w:val="0055419F"/>
    <w:rsid w:val="00566343"/>
    <w:rsid w:val="006229CB"/>
    <w:rsid w:val="006251C7"/>
    <w:rsid w:val="006426DF"/>
    <w:rsid w:val="00660B8C"/>
    <w:rsid w:val="006758E7"/>
    <w:rsid w:val="00684C33"/>
    <w:rsid w:val="00690593"/>
    <w:rsid w:val="00691072"/>
    <w:rsid w:val="006A5101"/>
    <w:rsid w:val="006C65BC"/>
    <w:rsid w:val="006F0012"/>
    <w:rsid w:val="00723F56"/>
    <w:rsid w:val="0074748A"/>
    <w:rsid w:val="00764C59"/>
    <w:rsid w:val="007C2203"/>
    <w:rsid w:val="00824A7F"/>
    <w:rsid w:val="008E51B3"/>
    <w:rsid w:val="00927563"/>
    <w:rsid w:val="00946EDF"/>
    <w:rsid w:val="00962107"/>
    <w:rsid w:val="009D3D29"/>
    <w:rsid w:val="009E5A2A"/>
    <w:rsid w:val="009E6F36"/>
    <w:rsid w:val="00A337F7"/>
    <w:rsid w:val="00A74AAA"/>
    <w:rsid w:val="00AC2E7E"/>
    <w:rsid w:val="00B37DF9"/>
    <w:rsid w:val="00B76E86"/>
    <w:rsid w:val="00BA5D9F"/>
    <w:rsid w:val="00C20535"/>
    <w:rsid w:val="00C5199E"/>
    <w:rsid w:val="00CD02A9"/>
    <w:rsid w:val="00CD4E58"/>
    <w:rsid w:val="00CD5DC6"/>
    <w:rsid w:val="00CE58C1"/>
    <w:rsid w:val="00D1065F"/>
    <w:rsid w:val="00D17E64"/>
    <w:rsid w:val="00D24037"/>
    <w:rsid w:val="00E94D34"/>
    <w:rsid w:val="00EA0CE6"/>
    <w:rsid w:val="00EA3E64"/>
    <w:rsid w:val="00ED6FBB"/>
    <w:rsid w:val="00EF165E"/>
    <w:rsid w:val="00F672DB"/>
    <w:rsid w:val="00F97D6A"/>
    <w:rsid w:val="00FA6538"/>
    <w:rsid w:val="00FE5519"/>
    <w:rsid w:val="00FE6C9E"/>
    <w:rsid w:val="0D575EBF"/>
    <w:rsid w:val="7DF6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1677</Words>
  <Characters>1792</Characters>
  <Lines>15</Lines>
  <Paragraphs>4</Paragraphs>
  <TotalTime>267</TotalTime>
  <ScaleCrop>false</ScaleCrop>
  <LinksUpToDate>false</LinksUpToDate>
  <CharactersWithSpaces>1944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2022-01-25T05:48:00Z</dcterms:created>
  <dc:creator>l</dc:creator>
  <cp:lastModifiedBy>猎豹</cp:lastModifiedBy>
  <cp:lastPrinted>2022-02-08T05:14:00Z</cp:lastPrinted>
  <dcterms:modified xsi:type="dcterms:W3CDTF">2023-11-03T06:25:19Z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4C9A6ACCCDE648CA98867C6629A4D93C_12</vt:lpwstr>
  </property>
</Properties>
</file>